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83" w:rsidRDefault="00825783" w:rsidP="00825783">
      <w:pPr>
        <w:widowControl w:val="0"/>
        <w:spacing w:before="6" w:line="240" w:lineRule="auto"/>
        <w:ind w:firstLine="709"/>
        <w:rPr>
          <w:rFonts w:eastAsia="Times New Roman" w:cs="Times New Roman"/>
          <w:b/>
          <w:sz w:val="26"/>
          <w:szCs w:val="26"/>
          <w:lang w:eastAsia="ru-RU" w:bidi="ru-RU"/>
        </w:rPr>
      </w:pPr>
      <w:bookmarkStart w:id="0" w:name="_GoBack"/>
      <w:bookmarkEnd w:id="0"/>
      <w:r w:rsidRPr="00514A32">
        <w:rPr>
          <w:rFonts w:eastAsia="Times New Roman" w:cs="Times New Roman"/>
          <w:b/>
          <w:sz w:val="26"/>
          <w:szCs w:val="26"/>
          <w:lang w:eastAsia="ru-RU" w:bidi="ru-RU"/>
        </w:rPr>
        <w:t>ОБЕСПЕЧЕНИЕ ПОЖАРНОЙ БЕЗОПАСНОСТИ ОБЪЕКТОВ КАПИТАЛЬНОГО СТРОИТЕЛЬСТВА В СЕЙСМООПАСНЫХ РАЙОНАХ</w:t>
      </w:r>
    </w:p>
    <w:p w:rsidR="00825783" w:rsidRPr="00514A32" w:rsidRDefault="00825783" w:rsidP="00825783">
      <w:pPr>
        <w:widowControl w:val="0"/>
        <w:spacing w:before="6" w:line="240" w:lineRule="auto"/>
        <w:ind w:firstLine="709"/>
        <w:rPr>
          <w:rFonts w:eastAsia="Times New Roman" w:cs="Times New Roman"/>
          <w:b/>
          <w:sz w:val="26"/>
          <w:szCs w:val="26"/>
          <w:lang w:eastAsia="ru-RU" w:bidi="ru-RU"/>
        </w:rPr>
      </w:pPr>
    </w:p>
    <w:p w:rsidR="00825783" w:rsidRDefault="00825783" w:rsidP="00825783">
      <w:pPr>
        <w:widowControl w:val="0"/>
        <w:spacing w:before="6" w:line="240" w:lineRule="auto"/>
        <w:ind w:firstLine="0"/>
        <w:rPr>
          <w:rFonts w:eastAsia="Times New Roman" w:cs="Times New Roman"/>
          <w:sz w:val="26"/>
          <w:szCs w:val="26"/>
          <w:lang w:eastAsia="ru-RU" w:bidi="ru-RU"/>
        </w:rPr>
      </w:pPr>
      <w:r w:rsidRPr="00A31B68">
        <w:rPr>
          <w:rFonts w:eastAsia="Times New Roman" w:cs="Times New Roman"/>
          <w:b/>
          <w:sz w:val="26"/>
          <w:szCs w:val="26"/>
          <w:lang w:eastAsia="ru-RU" w:bidi="ru-RU"/>
        </w:rPr>
        <w:t>Кривцов Юрий Владимирович</w:t>
      </w:r>
    </w:p>
    <w:p w:rsidR="00825783" w:rsidRDefault="00825783" w:rsidP="00825783">
      <w:pPr>
        <w:widowControl w:val="0"/>
        <w:spacing w:before="6" w:line="240" w:lineRule="auto"/>
        <w:ind w:firstLine="0"/>
        <w:rPr>
          <w:rFonts w:eastAsia="Times New Roman" w:cs="Times New Roman"/>
          <w:sz w:val="26"/>
          <w:szCs w:val="26"/>
          <w:lang w:eastAsia="ru-RU" w:bidi="ru-RU"/>
        </w:rPr>
      </w:pPr>
      <w:r w:rsidRPr="00076D80">
        <w:rPr>
          <w:rFonts w:eastAsia="Times New Roman" w:cs="Times New Roman"/>
          <w:sz w:val="26"/>
          <w:szCs w:val="26"/>
          <w:lang w:eastAsia="ru-RU" w:bidi="ru-RU"/>
        </w:rPr>
        <w:t>академик РАН, д.т.н., профессор</w:t>
      </w:r>
      <w:r>
        <w:rPr>
          <w:rFonts w:eastAsia="Times New Roman" w:cs="Times New Roman"/>
          <w:sz w:val="26"/>
          <w:szCs w:val="26"/>
          <w:lang w:eastAsia="ru-RU" w:bidi="ru-RU"/>
        </w:rPr>
        <w:t>.</w:t>
      </w:r>
      <w:r w:rsidRPr="00514A32">
        <w:rPr>
          <w:rFonts w:eastAsia="Times New Roman" w:cs="Times New Roman"/>
          <w:sz w:val="26"/>
          <w:szCs w:val="26"/>
          <w:lang w:eastAsia="ru-RU" w:bidi="ru-RU"/>
        </w:rPr>
        <w:t xml:space="preserve"> </w:t>
      </w:r>
      <w:r w:rsidRPr="00076D80">
        <w:rPr>
          <w:rFonts w:eastAsia="Times New Roman" w:cs="Times New Roman"/>
          <w:sz w:val="26"/>
          <w:szCs w:val="26"/>
          <w:lang w:eastAsia="ru-RU" w:bidi="ru-RU"/>
        </w:rPr>
        <w:t>ЦНИИСК им. В.А. Кучеренко</w:t>
      </w:r>
      <w:r>
        <w:rPr>
          <w:rFonts w:eastAsia="Times New Roman" w:cs="Times New Roman"/>
          <w:sz w:val="26"/>
          <w:szCs w:val="26"/>
          <w:lang w:eastAsia="ru-RU" w:bidi="ru-RU"/>
        </w:rPr>
        <w:t xml:space="preserve"> АО «НИЦ «Строительство»</w:t>
      </w:r>
    </w:p>
    <w:p w:rsidR="00825783" w:rsidRPr="00076D80" w:rsidRDefault="00825783" w:rsidP="00825783">
      <w:pPr>
        <w:widowControl w:val="0"/>
        <w:spacing w:before="6" w:line="240" w:lineRule="auto"/>
        <w:ind w:firstLine="0"/>
        <w:rPr>
          <w:rFonts w:eastAsia="Times New Roman" w:cs="Times New Roman"/>
          <w:sz w:val="26"/>
          <w:szCs w:val="26"/>
          <w:lang w:eastAsia="ru-RU" w:bidi="ru-RU"/>
        </w:rPr>
      </w:pPr>
    </w:p>
    <w:p w:rsidR="00825783" w:rsidRPr="00076D80" w:rsidRDefault="00825783" w:rsidP="00825783">
      <w:pPr>
        <w:widowControl w:val="0"/>
        <w:spacing w:before="6" w:line="240" w:lineRule="auto"/>
        <w:ind w:firstLine="709"/>
        <w:rPr>
          <w:rFonts w:eastAsia="Times New Roman" w:cs="Times New Roman"/>
          <w:sz w:val="26"/>
          <w:szCs w:val="26"/>
          <w:lang w:eastAsia="ru-RU" w:bidi="ru-RU"/>
        </w:rPr>
      </w:pPr>
      <w:r w:rsidRPr="00514A32">
        <w:rPr>
          <w:rFonts w:eastAsia="Times New Roman" w:cs="Times New Roman"/>
          <w:b/>
          <w:iCs/>
          <w:sz w:val="26"/>
          <w:szCs w:val="26"/>
          <w:lang w:eastAsia="ru-RU" w:bidi="ru-RU"/>
        </w:rPr>
        <w:t>Аннотация</w:t>
      </w:r>
      <w:r>
        <w:rPr>
          <w:rFonts w:eastAsia="Times New Roman" w:cs="Times New Roman"/>
          <w:b/>
          <w:sz w:val="26"/>
          <w:szCs w:val="26"/>
          <w:lang w:eastAsia="ru-RU" w:bidi="ru-RU"/>
        </w:rPr>
        <w:t>.</w:t>
      </w:r>
      <w:r w:rsidRPr="00076D80">
        <w:rPr>
          <w:rFonts w:eastAsia="Times New Roman" w:cs="Times New Roman"/>
          <w:sz w:val="26"/>
          <w:szCs w:val="26"/>
          <w:lang w:eastAsia="ru-RU" w:bidi="ru-RU"/>
        </w:rPr>
        <w:t xml:space="preserve"> В </w:t>
      </w:r>
      <w:r>
        <w:rPr>
          <w:rFonts w:eastAsia="Times New Roman" w:cs="Times New Roman"/>
          <w:sz w:val="26"/>
          <w:szCs w:val="26"/>
          <w:lang w:eastAsia="ru-RU" w:bidi="ru-RU"/>
        </w:rPr>
        <w:t xml:space="preserve">докладе </w:t>
      </w:r>
      <w:r w:rsidRPr="00076D80">
        <w:rPr>
          <w:rFonts w:eastAsia="Times New Roman" w:cs="Times New Roman"/>
          <w:sz w:val="26"/>
          <w:szCs w:val="26"/>
          <w:lang w:eastAsia="ru-RU" w:bidi="ru-RU"/>
        </w:rPr>
        <w:t>отражены основные направления развития обеспечения пожарной безопасности строительных конструкций при строительстве объектов в районах с сейсмичностью более 6 баллов.  Показано, что обеспечение пожарной безопасности зданий и сооружений в сейсмоопасных районах, напрямую зависит от свойств применяемых для обеспечения требуемых пределов огнестойкости огнезащитных составов. Теоретические исследования Научно-экспертного бюро пожарной, экологической безопасности в строительстве ЦНИИСК им. В.А. Кучеренко позволили разработать линейку огнезащитных составов, способных обеспечить требуемые пределы огнестойкости строительных конструкций после приложения к ним сейсмических нагрузок, которые прошли огневые и сейсмические испытания и внедрены в серийное производство на одном из предприятий ведущего российского холдинга НПО «Ассоциация КрилаК»</w:t>
      </w:r>
      <w:r>
        <w:rPr>
          <w:rFonts w:eastAsia="Times New Roman" w:cs="Times New Roman"/>
          <w:sz w:val="26"/>
          <w:szCs w:val="26"/>
          <w:lang w:eastAsia="ru-RU" w:bidi="ru-RU"/>
        </w:rPr>
        <w:t>.</w:t>
      </w:r>
    </w:p>
    <w:p w:rsidR="00825783" w:rsidRDefault="00825783" w:rsidP="00825783">
      <w:pPr>
        <w:widowControl w:val="0"/>
        <w:spacing w:before="6" w:line="240" w:lineRule="auto"/>
        <w:ind w:firstLine="709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  <w:r w:rsidRPr="00514A32">
        <w:rPr>
          <w:rFonts w:eastAsia="Times New Roman" w:cs="Times New Roman"/>
          <w:b/>
          <w:iCs/>
          <w:color w:val="000000"/>
          <w:sz w:val="26"/>
          <w:szCs w:val="26"/>
          <w:lang w:eastAsia="ru-RU" w:bidi="ru-RU"/>
        </w:rPr>
        <w:t>Ключевые слова</w:t>
      </w:r>
      <w:r w:rsidRPr="00514A32">
        <w:rPr>
          <w:rFonts w:eastAsia="Times New Roman" w:cs="Times New Roman"/>
          <w:b/>
          <w:color w:val="000000"/>
          <w:sz w:val="26"/>
          <w:szCs w:val="26"/>
          <w:lang w:eastAsia="ru-RU" w:bidi="ru-RU"/>
        </w:rPr>
        <w:t>:</w:t>
      </w:r>
      <w:r w:rsidRPr="00076D80">
        <w:rPr>
          <w:rFonts w:eastAsia="Times New Roman" w:cs="Times New Roman"/>
          <w:color w:val="000000"/>
          <w:sz w:val="26"/>
          <w:szCs w:val="26"/>
          <w:lang w:eastAsia="ru-RU" w:bidi="ru-RU"/>
        </w:rPr>
        <w:t xml:space="preserve"> огнезащита, сейсмостойкость, пожарная </w:t>
      </w:r>
      <w:r>
        <w:rPr>
          <w:rFonts w:eastAsia="Times New Roman" w:cs="Times New Roman"/>
          <w:color w:val="000000"/>
          <w:sz w:val="26"/>
          <w:szCs w:val="26"/>
          <w:lang w:eastAsia="ru-RU" w:bidi="ru-RU"/>
        </w:rPr>
        <w:t>сейсмика, пожарная безопасность</w:t>
      </w:r>
    </w:p>
    <w:p w:rsidR="00825783" w:rsidRPr="002B6F18" w:rsidRDefault="00825783" w:rsidP="00825783">
      <w:pPr>
        <w:widowControl w:val="0"/>
        <w:spacing w:line="240" w:lineRule="auto"/>
        <w:ind w:firstLine="0"/>
        <w:rPr>
          <w:rFonts w:eastAsia="Times New Roman"/>
          <w:b/>
          <w:snapToGrid w:val="0"/>
          <w:sz w:val="28"/>
          <w:szCs w:val="28"/>
          <w:shd w:val="clear" w:color="auto" w:fill="FFFFFF"/>
        </w:rPr>
      </w:pPr>
    </w:p>
    <w:p w:rsidR="00825783" w:rsidRPr="009F5A3E" w:rsidRDefault="00825783" w:rsidP="00825783">
      <w:pPr>
        <w:widowControl w:val="0"/>
        <w:spacing w:line="240" w:lineRule="auto"/>
        <w:ind w:firstLine="0"/>
        <w:rPr>
          <w:rFonts w:eastAsia="Times New Roman"/>
          <w:b/>
          <w:snapToGrid w:val="0"/>
          <w:sz w:val="28"/>
          <w:szCs w:val="28"/>
          <w:shd w:val="clear" w:color="auto" w:fill="FFFFFF"/>
        </w:rPr>
      </w:pPr>
      <w:r w:rsidRPr="00D428D1">
        <w:rPr>
          <w:rFonts w:eastAsia="Times New Roman"/>
          <w:b/>
          <w:snapToGrid w:val="0"/>
          <w:sz w:val="28"/>
          <w:szCs w:val="28"/>
          <w:shd w:val="clear" w:color="auto" w:fill="FFFFFF"/>
          <w:lang w:val="en-US"/>
        </w:rPr>
        <w:t>DOI</w:t>
      </w:r>
      <w:r w:rsidRPr="00D428D1">
        <w:rPr>
          <w:rFonts w:eastAsia="Times New Roman"/>
          <w:b/>
          <w:snapToGrid w:val="0"/>
          <w:sz w:val="28"/>
          <w:szCs w:val="28"/>
          <w:shd w:val="clear" w:color="auto" w:fill="FFFFFF"/>
        </w:rPr>
        <w:t xml:space="preserve"> </w:t>
      </w:r>
      <w:r w:rsidR="003B5EEE">
        <w:rPr>
          <w:rFonts w:eastAsia="Times New Roman"/>
          <w:b/>
          <w:snapToGrid w:val="0"/>
          <w:sz w:val="28"/>
          <w:szCs w:val="28"/>
          <w:shd w:val="clear" w:color="auto" w:fill="FFFFFF"/>
        </w:rPr>
        <w:t>10.37153</w:t>
      </w:r>
      <w:r w:rsidRPr="00D428D1">
        <w:rPr>
          <w:rFonts w:eastAsia="Times New Roman"/>
          <w:b/>
          <w:snapToGrid w:val="0"/>
          <w:sz w:val="28"/>
          <w:szCs w:val="28"/>
          <w:shd w:val="clear" w:color="auto" w:fill="FFFFFF"/>
        </w:rPr>
        <w:t>/2686-</w:t>
      </w:r>
      <w:r w:rsidRPr="00D428D1">
        <w:rPr>
          <w:b/>
          <w:sz w:val="28"/>
          <w:szCs w:val="28"/>
        </w:rPr>
        <w:t>0045</w:t>
      </w:r>
      <w:r w:rsidRPr="00D428D1">
        <w:rPr>
          <w:rFonts w:eastAsia="Times New Roman"/>
          <w:b/>
          <w:snapToGrid w:val="0"/>
          <w:sz w:val="28"/>
          <w:szCs w:val="28"/>
          <w:shd w:val="clear" w:color="auto" w:fill="FFFFFF"/>
        </w:rPr>
        <w:t>-2019-13-</w:t>
      </w:r>
      <w:r>
        <w:rPr>
          <w:rFonts w:eastAsia="Times New Roman"/>
          <w:b/>
          <w:snapToGrid w:val="0"/>
          <w:sz w:val="28"/>
          <w:szCs w:val="28"/>
          <w:shd w:val="clear" w:color="auto" w:fill="FFFFFF"/>
        </w:rPr>
        <w:t>21</w:t>
      </w:r>
      <w:r w:rsidR="00A8394E">
        <w:rPr>
          <w:rFonts w:eastAsia="Times New Roman"/>
          <w:b/>
          <w:snapToGrid w:val="0"/>
          <w:sz w:val="28"/>
          <w:szCs w:val="28"/>
          <w:shd w:val="clear" w:color="auto" w:fill="FFFFFF"/>
        </w:rPr>
        <w:t>2</w:t>
      </w:r>
      <w:r w:rsidRPr="00D428D1">
        <w:rPr>
          <w:rFonts w:eastAsia="Times New Roman"/>
          <w:b/>
          <w:snapToGrid w:val="0"/>
          <w:sz w:val="28"/>
          <w:szCs w:val="28"/>
          <w:shd w:val="clear" w:color="auto" w:fill="FFFFFF"/>
        </w:rPr>
        <w:t>-</w:t>
      </w:r>
      <w:r>
        <w:rPr>
          <w:rFonts w:eastAsia="Times New Roman"/>
          <w:b/>
          <w:snapToGrid w:val="0"/>
          <w:sz w:val="28"/>
          <w:szCs w:val="28"/>
          <w:shd w:val="clear" w:color="auto" w:fill="FFFFFF"/>
        </w:rPr>
        <w:t>21</w:t>
      </w:r>
      <w:r w:rsidR="00A8394E">
        <w:rPr>
          <w:rFonts w:eastAsia="Times New Roman"/>
          <w:b/>
          <w:snapToGrid w:val="0"/>
          <w:sz w:val="28"/>
          <w:szCs w:val="28"/>
          <w:shd w:val="clear" w:color="auto" w:fill="FFFFFF"/>
        </w:rPr>
        <w:t>3</w:t>
      </w:r>
    </w:p>
    <w:p w:rsidR="00825783" w:rsidRPr="00076D80" w:rsidRDefault="00825783" w:rsidP="00825783">
      <w:pPr>
        <w:widowControl w:val="0"/>
        <w:spacing w:before="6" w:line="240" w:lineRule="auto"/>
        <w:ind w:firstLine="709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</w:p>
    <w:p w:rsidR="00825783" w:rsidRPr="00076D80" w:rsidRDefault="00825783" w:rsidP="00825783">
      <w:pPr>
        <w:widowControl w:val="0"/>
        <w:spacing w:before="6" w:line="240" w:lineRule="auto"/>
        <w:ind w:firstLine="709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  <w:r w:rsidRPr="00076D80">
        <w:rPr>
          <w:rFonts w:eastAsia="Times New Roman" w:cs="Times New Roman"/>
          <w:color w:val="000000"/>
          <w:sz w:val="26"/>
          <w:szCs w:val="26"/>
          <w:lang w:eastAsia="ru-RU" w:bidi="ru-RU"/>
        </w:rPr>
        <w:t xml:space="preserve">Обязательное нормирование таких характеристик пожарной опасности строительных конструкций и материалов, как пределы огнестойкости и классы пожарной опасности, их подтверждение в аккредитованных испытательных лабораториях для дальнейшего применения в строительстве – это внедрённая и отработанная практика, используемая при проектировании и строительстве зданий и сооружений. Основные её положения чётко изложены в Федеральном законе от 22.07.2008 № 123-ФЗ «Технический регламент о требованиях пожарной безопасности». </w:t>
      </w:r>
    </w:p>
    <w:p w:rsidR="00825783" w:rsidRPr="00076D80" w:rsidRDefault="00825783" w:rsidP="00825783">
      <w:pPr>
        <w:widowControl w:val="0"/>
        <w:spacing w:before="6" w:line="240" w:lineRule="auto"/>
        <w:ind w:firstLine="709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  <w:r w:rsidRPr="00076D80">
        <w:rPr>
          <w:rFonts w:eastAsia="Times New Roman" w:cs="Times New Roman"/>
          <w:color w:val="000000"/>
          <w:sz w:val="26"/>
          <w:szCs w:val="26"/>
          <w:lang w:eastAsia="ru-RU" w:bidi="ru-RU"/>
        </w:rPr>
        <w:t>Одновременно с этим, объекты строительства в зонах с сейсмичностью 6 и более баллов должны быть спроектированы с учётом сейсмостойкости зданий и сооружений, которая должна быть подтверждена путём проведения соответствующих испытаний строительных конструкций, узлов сопряжения или фрагментов зданий в аккредитованных лабораториях. Требования по сейсмической безопасности изложены в Своде правил СП 14.13330.2014 «Строительство в сейсмических районах».</w:t>
      </w:r>
    </w:p>
    <w:p w:rsidR="00825783" w:rsidRPr="00076D80" w:rsidRDefault="00825783" w:rsidP="00825783">
      <w:pPr>
        <w:widowControl w:val="0"/>
        <w:spacing w:before="6" w:line="240" w:lineRule="auto"/>
        <w:ind w:firstLine="709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  <w:r w:rsidRPr="00076D80">
        <w:rPr>
          <w:rFonts w:eastAsia="Times New Roman" w:cs="Times New Roman"/>
          <w:color w:val="000000"/>
          <w:sz w:val="26"/>
          <w:szCs w:val="26"/>
          <w:lang w:eastAsia="ru-RU" w:bidi="ru-RU"/>
        </w:rPr>
        <w:t xml:space="preserve">Научное экспертное бюро пожарной, экологической безопасности в строительстве ЦНИИСК им. В.А. Кучеренко, понимая важность проблемы обеспечения пожарной безопасности зданий и сооружений, в том числе и после сейсмических воздействий, поставило цель разработать линейку огнезащитных составов, способных обеспечить требуемые пределы огнестойкости строительных конструкций после приложения к ним сейсмических нагрузок. </w:t>
      </w:r>
    </w:p>
    <w:p w:rsidR="00825783" w:rsidRPr="00076D80" w:rsidRDefault="00825783" w:rsidP="00825783">
      <w:pPr>
        <w:widowControl w:val="0"/>
        <w:spacing w:before="6" w:line="240" w:lineRule="auto"/>
        <w:ind w:firstLine="709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  <w:r w:rsidRPr="00076D80">
        <w:rPr>
          <w:rFonts w:eastAsia="Times New Roman" w:cs="Times New Roman"/>
          <w:color w:val="000000"/>
          <w:sz w:val="26"/>
          <w:szCs w:val="26"/>
          <w:lang w:eastAsia="ru-RU" w:bidi="ru-RU"/>
        </w:rPr>
        <w:t>Основным аспектом технического задания на разработку огнезащитных составов для стальных конструкций были:</w:t>
      </w:r>
    </w:p>
    <w:p w:rsidR="00825783" w:rsidRPr="00076D80" w:rsidRDefault="00825783" w:rsidP="00825783">
      <w:pPr>
        <w:widowControl w:val="0"/>
        <w:spacing w:before="6" w:line="240" w:lineRule="auto"/>
        <w:ind w:firstLine="709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  <w:r w:rsidRPr="00076D80">
        <w:rPr>
          <w:rFonts w:eastAsia="Times New Roman" w:cs="Times New Roman"/>
          <w:color w:val="000000"/>
          <w:sz w:val="26"/>
          <w:szCs w:val="26"/>
          <w:lang w:eastAsia="ru-RU" w:bidi="ru-RU"/>
        </w:rPr>
        <w:t xml:space="preserve">- безусловное обеспечение основных рабочих характеристик составов, таких </w:t>
      </w:r>
      <w:r w:rsidRPr="00076D80">
        <w:rPr>
          <w:rFonts w:eastAsia="Times New Roman" w:cs="Times New Roman"/>
          <w:color w:val="000000"/>
          <w:sz w:val="26"/>
          <w:szCs w:val="26"/>
          <w:lang w:eastAsia="ru-RU" w:bidi="ru-RU"/>
        </w:rPr>
        <w:lastRenderedPageBreak/>
        <w:t>как огнезащитная эффективность (ГОСТ Р 53295-2009 «Средства огнезащитные для стальных конструкций. Метод определения огнезащитной эффективности»);</w:t>
      </w:r>
    </w:p>
    <w:p w:rsidR="00825783" w:rsidRPr="00076D80" w:rsidRDefault="00825783" w:rsidP="00825783">
      <w:pPr>
        <w:widowControl w:val="0"/>
        <w:spacing w:before="6" w:line="240" w:lineRule="auto"/>
        <w:ind w:firstLine="709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  <w:r w:rsidRPr="00076D80">
        <w:rPr>
          <w:rFonts w:eastAsia="Times New Roman" w:cs="Times New Roman"/>
          <w:color w:val="000000"/>
          <w:sz w:val="26"/>
          <w:szCs w:val="26"/>
          <w:lang w:eastAsia="ru-RU" w:bidi="ru-RU"/>
        </w:rPr>
        <w:t>- повышенные прочностные и адгезионные характеристики огнезащитных покрытий, позволяющие сохранить целостность и структурную неизменяемость после сейсмических воздействий;</w:t>
      </w:r>
    </w:p>
    <w:p w:rsidR="00825783" w:rsidRPr="00076D80" w:rsidRDefault="00825783" w:rsidP="00825783">
      <w:pPr>
        <w:widowControl w:val="0"/>
        <w:spacing w:before="6" w:line="240" w:lineRule="auto"/>
        <w:ind w:firstLine="709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  <w:r w:rsidRPr="00076D80">
        <w:rPr>
          <w:rFonts w:eastAsia="Times New Roman" w:cs="Times New Roman"/>
          <w:color w:val="000000"/>
          <w:sz w:val="26"/>
          <w:szCs w:val="26"/>
          <w:lang w:eastAsia="ru-RU" w:bidi="ru-RU"/>
        </w:rPr>
        <w:t>- максимальное сохранение огнезащитной эффективности покрытий, прошедших сейсмические испытания в составе строительных конструкций при различных температурных режимах испытаний (стандартный температурный режим, углеводородный и целлюлозный температурные режимы).</w:t>
      </w:r>
    </w:p>
    <w:p w:rsidR="00825783" w:rsidRPr="00076D80" w:rsidRDefault="00825783" w:rsidP="00825783">
      <w:pPr>
        <w:widowControl w:val="0"/>
        <w:spacing w:before="6" w:line="240" w:lineRule="auto"/>
        <w:ind w:firstLine="709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  <w:r w:rsidRPr="00076D80">
        <w:rPr>
          <w:rFonts w:eastAsia="Times New Roman" w:cs="Times New Roman"/>
          <w:color w:val="000000"/>
          <w:sz w:val="26"/>
          <w:szCs w:val="26"/>
          <w:lang w:eastAsia="ru-RU" w:bidi="ru-RU"/>
        </w:rPr>
        <w:t>Разработанные институтом рецептуры были внедрены в серийное производство на одном из предприятий ведущего российского холдинга НПО «Ассоциация КрилаК», осуществляющего комплексный подход к решению проблем пожарной безопасности. Выпускаемые продукты: огнезащитная краска «Джокер М» и конструктивный огнезащитный состав «Монокот</w:t>
      </w:r>
      <w:r w:rsidRPr="00076D80">
        <w:rPr>
          <w:rFonts w:eastAsia="Times New Roman" w:cs="Times New Roman"/>
          <w:color w:val="000000"/>
          <w:sz w:val="26"/>
          <w:szCs w:val="26"/>
          <w:vertAlign w:val="superscript"/>
          <w:lang w:eastAsia="ru-RU" w:bidi="ru-RU"/>
        </w:rPr>
        <w:t>ТМ</w:t>
      </w:r>
      <w:r w:rsidRPr="00076D80">
        <w:rPr>
          <w:rFonts w:eastAsia="Times New Roman" w:cs="Times New Roman"/>
          <w:color w:val="000000"/>
          <w:sz w:val="26"/>
          <w:szCs w:val="26"/>
          <w:lang w:eastAsia="ru-RU" w:bidi="ru-RU"/>
        </w:rPr>
        <w:t xml:space="preserve"> КрилаК» прошли процедуру обязательного подтверждения соответствия (обязательная сертификация), прошли сейсмические испытания. Дополнительно для огнезащитных покрытий на основе данных составов институтом были проведены оценки огнезащитной эффективности после сейсмических воздействий интенсивностью 9 баллов. По результатам испытаний снижение огнезащитной эффективности покрытий на основе огнезащитных составов «Джокер М» и «Монокот</w:t>
      </w:r>
      <w:r w:rsidRPr="00076D80">
        <w:rPr>
          <w:rFonts w:eastAsia="Times New Roman" w:cs="Times New Roman"/>
          <w:color w:val="000000"/>
          <w:sz w:val="26"/>
          <w:szCs w:val="26"/>
          <w:vertAlign w:val="superscript"/>
          <w:lang w:eastAsia="ru-RU" w:bidi="ru-RU"/>
        </w:rPr>
        <w:t>ТМ</w:t>
      </w:r>
      <w:r w:rsidRPr="00076D80">
        <w:rPr>
          <w:rFonts w:eastAsia="Times New Roman" w:cs="Times New Roman"/>
          <w:color w:val="000000"/>
          <w:sz w:val="26"/>
          <w:szCs w:val="26"/>
          <w:lang w:eastAsia="ru-RU" w:bidi="ru-RU"/>
        </w:rPr>
        <w:t xml:space="preserve"> КрилаК» выявлено не было.</w:t>
      </w:r>
    </w:p>
    <w:p w:rsidR="00825783" w:rsidRPr="00076D80" w:rsidRDefault="00825783" w:rsidP="00825783">
      <w:pPr>
        <w:widowControl w:val="0"/>
        <w:spacing w:before="6" w:line="240" w:lineRule="auto"/>
        <w:ind w:firstLine="709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  <w:r w:rsidRPr="00076D80">
        <w:rPr>
          <w:rFonts w:eastAsia="Times New Roman" w:cs="Times New Roman"/>
          <w:color w:val="000000"/>
          <w:sz w:val="26"/>
          <w:szCs w:val="26"/>
          <w:lang w:eastAsia="ru-RU" w:bidi="ru-RU"/>
        </w:rPr>
        <w:t xml:space="preserve">Экспериментальные данные, полученные при проведении этих и других подобных испытаний послужили основой для разработки институтом Стандарта организации по методам испытаний на соответствие требованиям пожарной безопасности  строительных конструкций со средствами огнезащиты и систем противопожарной защиты, применяемых в районах с сейсмичностью более 6 баллов. </w:t>
      </w:r>
    </w:p>
    <w:p w:rsidR="00825783" w:rsidRPr="00076D80" w:rsidRDefault="00825783" w:rsidP="00825783">
      <w:pPr>
        <w:widowControl w:val="0"/>
        <w:spacing w:before="6" w:line="240" w:lineRule="auto"/>
        <w:ind w:firstLine="709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</w:p>
    <w:p w:rsidR="00686762" w:rsidRPr="00FA29F9" w:rsidRDefault="00686762" w:rsidP="00FA29F9">
      <w:pPr>
        <w:rPr>
          <w:rFonts w:cs="Times New Roman"/>
          <w:szCs w:val="24"/>
        </w:rPr>
      </w:pPr>
    </w:p>
    <w:sectPr w:rsidR="00686762" w:rsidRPr="00FA29F9" w:rsidSect="008257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134" w:left="1418" w:header="709" w:footer="709" w:gutter="0"/>
      <w:pgNumType w:start="2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05E" w:rsidRDefault="001D105E" w:rsidP="00AE7A14">
      <w:pPr>
        <w:spacing w:line="240" w:lineRule="auto"/>
      </w:pPr>
      <w:r>
        <w:separator/>
      </w:r>
    </w:p>
  </w:endnote>
  <w:endnote w:type="continuationSeparator" w:id="0">
    <w:p w:rsidR="001D105E" w:rsidRDefault="001D105E" w:rsidP="00AE7A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783" w:rsidRDefault="0082578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3498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E7A14" w:rsidRPr="00FA29F9" w:rsidRDefault="00AE7A14" w:rsidP="00AE7A14">
        <w:pPr>
          <w:pStyle w:val="a5"/>
          <w:tabs>
            <w:tab w:val="clear" w:pos="4677"/>
            <w:tab w:val="clear" w:pos="9355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 w:rsidRPr="00FA29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A29F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A29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5EEE">
          <w:rPr>
            <w:rFonts w:ascii="Times New Roman" w:hAnsi="Times New Roman" w:cs="Times New Roman"/>
            <w:noProof/>
            <w:sz w:val="24"/>
            <w:szCs w:val="24"/>
          </w:rPr>
          <w:t>213</w:t>
        </w:r>
        <w:r w:rsidRPr="00FA29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783" w:rsidRDefault="008257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05E" w:rsidRDefault="001D105E" w:rsidP="00AE7A14">
      <w:pPr>
        <w:spacing w:line="240" w:lineRule="auto"/>
      </w:pPr>
      <w:r>
        <w:separator/>
      </w:r>
    </w:p>
  </w:footnote>
  <w:footnote w:type="continuationSeparator" w:id="0">
    <w:p w:rsidR="001D105E" w:rsidRDefault="001D105E" w:rsidP="00AE7A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783" w:rsidRDefault="008257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783" w:rsidRDefault="0082578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783" w:rsidRDefault="008257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83"/>
    <w:rsid w:val="000A6C9E"/>
    <w:rsid w:val="001D105E"/>
    <w:rsid w:val="003B5EEE"/>
    <w:rsid w:val="00660256"/>
    <w:rsid w:val="00686762"/>
    <w:rsid w:val="00810F65"/>
    <w:rsid w:val="00825783"/>
    <w:rsid w:val="00A8394E"/>
    <w:rsid w:val="00AE7A14"/>
    <w:rsid w:val="00FA29F9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3"/>
    <w:pPr>
      <w:spacing w:after="0" w:line="360" w:lineRule="auto"/>
      <w:ind w:firstLine="720"/>
      <w:jc w:val="both"/>
    </w:pPr>
    <w:rPr>
      <w:rFonts w:ascii="Times New Roman" w:eastAsiaTheme="minorHAnsi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A14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E7A14"/>
  </w:style>
  <w:style w:type="paragraph" w:styleId="a5">
    <w:name w:val="footer"/>
    <w:basedOn w:val="a"/>
    <w:link w:val="a6"/>
    <w:uiPriority w:val="99"/>
    <w:unhideWhenUsed/>
    <w:rsid w:val="00AE7A14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E7A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3"/>
    <w:pPr>
      <w:spacing w:after="0" w:line="360" w:lineRule="auto"/>
      <w:ind w:firstLine="720"/>
      <w:jc w:val="both"/>
    </w:pPr>
    <w:rPr>
      <w:rFonts w:ascii="Times New Roman" w:eastAsiaTheme="minorHAnsi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A14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E7A14"/>
  </w:style>
  <w:style w:type="paragraph" w:styleId="a5">
    <w:name w:val="footer"/>
    <w:basedOn w:val="a"/>
    <w:link w:val="a6"/>
    <w:uiPriority w:val="99"/>
    <w:unhideWhenUsed/>
    <w:rsid w:val="00AE7A14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E7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57;&#1073;&#1086;&#1088;&#1085;&#1080;&#1082;%20&#1088;&#1091;&#108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Сборник рус.dotx</Template>
  <TotalTime>2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dcterms:created xsi:type="dcterms:W3CDTF">2020-07-24T13:15:00Z</dcterms:created>
  <dcterms:modified xsi:type="dcterms:W3CDTF">2021-05-13T12:58:00Z</dcterms:modified>
</cp:coreProperties>
</file>