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DB" w:rsidRPr="009573A6" w:rsidRDefault="009347DB" w:rsidP="009347DB">
      <w:pPr>
        <w:widowControl w:val="0"/>
        <w:spacing w:after="248" w:line="283" w:lineRule="exact"/>
        <w:ind w:left="180" w:firstLine="0"/>
        <w:jc w:val="left"/>
        <w:rPr>
          <w:rFonts w:eastAsia="Times New Roman" w:cs="Times New Roman"/>
          <w:b/>
          <w:color w:val="000000"/>
          <w:szCs w:val="24"/>
          <w:lang w:eastAsia="ru-RU" w:bidi="ru-RU"/>
        </w:rPr>
      </w:pPr>
      <w:bookmarkStart w:id="0" w:name="_GoBack"/>
      <w:bookmarkEnd w:id="0"/>
      <w:r w:rsidRPr="009573A6">
        <w:rPr>
          <w:rFonts w:eastAsia="Times New Roman" w:cs="Times New Roman"/>
          <w:b/>
          <w:color w:val="000000"/>
          <w:szCs w:val="24"/>
          <w:lang w:eastAsia="ru-RU" w:bidi="ru-RU"/>
        </w:rPr>
        <w:t>РАСЧЕТ СТРОИТЕЛЬНЫХ КОНСТРУКЦИЙ НОВОГО ПАССАЖИРСКОГО  ТЕРМИНАЛА МЕЖДУНАРОДНОГО АЭРОПОРТА «СИМФЕРОПОЛЬ»                         ИМ.   И.К. АЙВАЗОВСКОГО</w:t>
      </w:r>
    </w:p>
    <w:p w:rsidR="009347DB" w:rsidRPr="009573A6" w:rsidRDefault="009347DB" w:rsidP="009347DB">
      <w:pPr>
        <w:widowControl w:val="0"/>
        <w:spacing w:line="274" w:lineRule="exact"/>
        <w:ind w:left="180" w:firstLine="0"/>
        <w:rPr>
          <w:rFonts w:eastAsia="Times New Roman" w:cs="Times New Roman"/>
          <w:b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b/>
          <w:color w:val="000000"/>
          <w:szCs w:val="24"/>
          <w:lang w:eastAsia="ru-RU" w:bidi="ru-RU"/>
        </w:rPr>
        <w:t xml:space="preserve">Симбиркин В.Н. </w:t>
      </w:r>
    </w:p>
    <w:p w:rsidR="009347DB" w:rsidRDefault="009347DB" w:rsidP="009347DB">
      <w:pPr>
        <w:widowControl w:val="0"/>
        <w:spacing w:line="274" w:lineRule="exact"/>
        <w:ind w:left="180" w:firstLine="0"/>
        <w:rPr>
          <w:rFonts w:eastAsia="Times New Roman" w:cs="Times New Roman"/>
          <w:iCs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 xml:space="preserve">канд. техн. наук, главный 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t xml:space="preserve">инженер </w:t>
      </w:r>
      <w:r w:rsidRPr="009573A6">
        <w:rPr>
          <w:rFonts w:eastAsia="Times New Roman" w:cs="Times New Roman"/>
          <w:iCs/>
          <w:color w:val="000000"/>
          <w:szCs w:val="24"/>
          <w:lang w:eastAsia="ru-RU" w:bidi="ru-RU"/>
        </w:rPr>
        <w:t>ООО «ЕВРОСОФТ»</w:t>
      </w:r>
      <w:r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 </w:t>
      </w:r>
      <w:r w:rsidRPr="005E277D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 </w:t>
      </w:r>
      <w:hyperlink r:id="rId8" w:history="1">
        <w:r w:rsidRPr="008D4DEA">
          <w:rPr>
            <w:rStyle w:val="a7"/>
            <w:rFonts w:eastAsia="Times New Roman" w:cs="Times New Roman"/>
            <w:iCs/>
            <w:szCs w:val="24"/>
            <w:lang w:eastAsia="ru-RU" w:bidi="ru-RU"/>
          </w:rPr>
          <w:t>info@eurosoft.ru</w:t>
        </w:r>
      </w:hyperlink>
    </w:p>
    <w:p w:rsidR="009347DB" w:rsidRPr="009573A6" w:rsidRDefault="009347DB" w:rsidP="009347DB">
      <w:pPr>
        <w:widowControl w:val="0"/>
        <w:spacing w:line="274" w:lineRule="exact"/>
        <w:ind w:left="180" w:firstLine="0"/>
        <w:rPr>
          <w:rFonts w:eastAsia="Times New Roman" w:cs="Times New Roman"/>
          <w:b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br/>
      </w:r>
      <w:r w:rsidRPr="009573A6">
        <w:rPr>
          <w:rFonts w:eastAsia="Times New Roman" w:cs="Times New Roman"/>
          <w:b/>
          <w:color w:val="000000"/>
          <w:szCs w:val="24"/>
          <w:lang w:eastAsia="ru-RU" w:bidi="ru-RU"/>
        </w:rPr>
        <w:t>Панасенко Ю.В.</w:t>
      </w:r>
    </w:p>
    <w:p w:rsidR="009347DB" w:rsidRPr="009573A6" w:rsidRDefault="009347DB" w:rsidP="009347DB">
      <w:pPr>
        <w:widowControl w:val="0"/>
        <w:spacing w:line="274" w:lineRule="exact"/>
        <w:ind w:left="180" w:firstLine="0"/>
        <w:rPr>
          <w:rFonts w:eastAsia="Times New Roman" w:cs="Times New Roman"/>
          <w:iCs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 xml:space="preserve">инженер, руководитель 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t xml:space="preserve"> группы </w:t>
      </w:r>
      <w:r w:rsidRPr="009573A6">
        <w:rPr>
          <w:rFonts w:eastAsia="Times New Roman" w:cs="Times New Roman"/>
          <w:iCs/>
          <w:color w:val="000000"/>
          <w:szCs w:val="24"/>
          <w:lang w:eastAsia="ru-RU" w:bidi="ru-RU"/>
        </w:rPr>
        <w:t>ЦНИИСК им. В.А. Кучеренко АО «НИЦ</w:t>
      </w:r>
      <w:r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 </w:t>
      </w:r>
      <w:r w:rsidRPr="009573A6">
        <w:rPr>
          <w:rFonts w:eastAsia="Times New Roman" w:cs="Times New Roman"/>
          <w:iCs/>
          <w:color w:val="000000"/>
          <w:szCs w:val="24"/>
          <w:lang w:eastAsia="ru-RU" w:bidi="ru-RU"/>
        </w:rPr>
        <w:t>«Строительство»</w:t>
      </w:r>
    </w:p>
    <w:p w:rsidR="009347DB" w:rsidRDefault="009347DB" w:rsidP="009347DB">
      <w:pPr>
        <w:widowControl w:val="0"/>
        <w:spacing w:line="274" w:lineRule="exact"/>
        <w:ind w:left="180" w:firstLine="0"/>
        <w:jc w:val="center"/>
        <w:rPr>
          <w:rFonts w:eastAsia="Times New Roman" w:cs="Times New Roman"/>
          <w:color w:val="000000"/>
          <w:szCs w:val="24"/>
          <w:lang w:eastAsia="ru-RU" w:bidi="ru-RU"/>
        </w:rPr>
      </w:pPr>
    </w:p>
    <w:p w:rsidR="009347DB" w:rsidRPr="009573A6" w:rsidRDefault="009347DB" w:rsidP="009347DB">
      <w:pPr>
        <w:widowControl w:val="0"/>
        <w:spacing w:line="274" w:lineRule="exact"/>
        <w:ind w:left="180" w:firstLine="0"/>
        <w:rPr>
          <w:rFonts w:eastAsia="Times New Roman" w:cs="Times New Roman"/>
          <w:b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b/>
          <w:color w:val="000000"/>
          <w:szCs w:val="24"/>
          <w:lang w:eastAsia="ru-RU" w:bidi="ru-RU"/>
        </w:rPr>
        <w:t>Курнавин В.В.</w:t>
      </w:r>
    </w:p>
    <w:p w:rsidR="009347DB" w:rsidRDefault="009347DB" w:rsidP="009347DB">
      <w:pPr>
        <w:widowControl w:val="0"/>
        <w:spacing w:line="274" w:lineRule="exact"/>
        <w:ind w:left="180" w:firstLine="0"/>
        <w:rPr>
          <w:rFonts w:eastAsia="Times New Roman" w:cs="Times New Roman"/>
          <w:iCs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>инженер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t xml:space="preserve">, зам. зав. лаб. </w:t>
      </w:r>
      <w:r w:rsidRPr="009573A6">
        <w:rPr>
          <w:rFonts w:eastAsia="Times New Roman" w:cs="Times New Roman"/>
          <w:iCs/>
          <w:color w:val="000000"/>
          <w:szCs w:val="24"/>
          <w:lang w:eastAsia="ru-RU" w:bidi="ru-RU"/>
        </w:rPr>
        <w:t>ЦНИИСК им. В.А. Кучеренко АО «НИЦ</w:t>
      </w:r>
      <w:r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 </w:t>
      </w:r>
      <w:r w:rsidRPr="009573A6">
        <w:rPr>
          <w:rFonts w:eastAsia="Times New Roman" w:cs="Times New Roman"/>
          <w:iCs/>
          <w:color w:val="000000"/>
          <w:szCs w:val="24"/>
          <w:lang w:eastAsia="ru-RU" w:bidi="ru-RU"/>
        </w:rPr>
        <w:t>«Строительство»</w:t>
      </w:r>
    </w:p>
    <w:p w:rsidR="009347DB" w:rsidRDefault="009347DB" w:rsidP="009347DB">
      <w:pPr>
        <w:widowControl w:val="0"/>
        <w:spacing w:line="274" w:lineRule="exact"/>
        <w:ind w:left="180" w:firstLine="0"/>
        <w:rPr>
          <w:rFonts w:eastAsia="Times New Roman" w:cs="Times New Roman"/>
          <w:iCs/>
          <w:color w:val="000000"/>
          <w:szCs w:val="24"/>
          <w:lang w:eastAsia="ru-RU" w:bidi="ru-RU"/>
        </w:rPr>
      </w:pPr>
    </w:p>
    <w:p w:rsidR="009347DB" w:rsidRPr="002B6F18" w:rsidRDefault="009347DB" w:rsidP="009347DB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</w:p>
    <w:p w:rsidR="009347DB" w:rsidRPr="002B6F18" w:rsidRDefault="009347DB" w:rsidP="009347DB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555327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2</w:t>
      </w:r>
      <w:r w:rsidR="000A3143">
        <w:rPr>
          <w:rFonts w:eastAsia="Times New Roman"/>
          <w:b/>
          <w:snapToGrid w:val="0"/>
          <w:sz w:val="28"/>
          <w:szCs w:val="28"/>
          <w:shd w:val="clear" w:color="auto" w:fill="FFFFFF"/>
        </w:rPr>
        <w:t>18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 w:rsidR="000A3143">
        <w:rPr>
          <w:rFonts w:eastAsia="Times New Roman"/>
          <w:b/>
          <w:snapToGrid w:val="0"/>
          <w:sz w:val="28"/>
          <w:szCs w:val="28"/>
          <w:shd w:val="clear" w:color="auto" w:fill="FFFFFF"/>
        </w:rPr>
        <w:t>219</w:t>
      </w:r>
    </w:p>
    <w:p w:rsidR="009347DB" w:rsidRPr="009573A6" w:rsidRDefault="009347DB" w:rsidP="009347DB">
      <w:pPr>
        <w:widowControl w:val="0"/>
        <w:spacing w:line="274" w:lineRule="exact"/>
        <w:ind w:left="180" w:firstLine="0"/>
        <w:rPr>
          <w:rFonts w:eastAsia="Times New Roman" w:cs="Times New Roman"/>
          <w:iCs/>
          <w:color w:val="000000"/>
          <w:szCs w:val="24"/>
          <w:lang w:eastAsia="ru-RU" w:bidi="ru-RU"/>
        </w:rPr>
      </w:pPr>
    </w:p>
    <w:p w:rsidR="009347DB" w:rsidRPr="009573A6" w:rsidRDefault="009347DB" w:rsidP="009347DB">
      <w:pPr>
        <w:widowControl w:val="0"/>
        <w:spacing w:line="274" w:lineRule="exact"/>
        <w:ind w:right="220" w:firstLine="760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>В докладе представлены некоторые особенности проверочного расчета строительных конструкций нового здания аэровокзального комплекса международного аэропорта «Симферополь» имени И.К. Айвазовского», введенного в эксплуатацию 16 апреля 2018 г.</w:t>
      </w:r>
    </w:p>
    <w:p w:rsidR="009347DB" w:rsidRPr="009573A6" w:rsidRDefault="009347DB" w:rsidP="009347DB">
      <w:pPr>
        <w:widowControl w:val="0"/>
        <w:spacing w:line="274" w:lineRule="exact"/>
        <w:ind w:right="220" w:firstLine="760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>Сооружение пассажирского терминала аэропорта «Симферополь» представляет со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softHyphen/>
        <w:t xml:space="preserve">бой четырехэтажное здание с размерами в плане, равными 126м </w:t>
      </w:r>
      <w:r w:rsidRPr="009573A6">
        <w:rPr>
          <w:rFonts w:eastAsia="Times New Roman" w:cs="Times New Roman"/>
          <w:color w:val="000000"/>
          <w:szCs w:val="24"/>
          <w:lang w:val="en-US" w:bidi="en-US"/>
        </w:rPr>
        <w:t>x</w:t>
      </w:r>
      <w:r w:rsidRPr="009573A6">
        <w:rPr>
          <w:rFonts w:eastAsia="Times New Roman" w:cs="Times New Roman"/>
          <w:color w:val="000000"/>
          <w:szCs w:val="24"/>
          <w:lang w:bidi="en-US"/>
        </w:rPr>
        <w:t xml:space="preserve"> 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t>252м, и наибольшей высотой 35,4 м.</w:t>
      </w:r>
    </w:p>
    <w:p w:rsidR="009347DB" w:rsidRPr="009573A6" w:rsidRDefault="009347DB" w:rsidP="009347DB">
      <w:pPr>
        <w:widowControl w:val="0"/>
        <w:spacing w:line="274" w:lineRule="exact"/>
        <w:ind w:right="220" w:firstLine="760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>Конструктивная схема здания образована внутренним железобетонным каркасом и металлическими конструкциями покрытия. Главный фасад и фасад со стороны летного поля представляют собой криволинейный витраж с остеклением, в верхней части фасады имеют заполнение непрозрачными металлическими кассетами. Кровля здания, так же, как и основные фасады, имеет криволинейную форму.</w:t>
      </w:r>
    </w:p>
    <w:p w:rsidR="009347DB" w:rsidRPr="009573A6" w:rsidRDefault="009347DB" w:rsidP="009347DB">
      <w:pPr>
        <w:widowControl w:val="0"/>
        <w:spacing w:line="274" w:lineRule="exact"/>
        <w:ind w:right="220" w:firstLine="760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>Конструкция здания разделена на несколько блоков деформационными (в т.ч. антисейсмическими) швами. В металлоконструкциях покрытия деформационные швы выполнены только в продольном направлении. В поперечном направлении покрытие выполнено неразрезным, без деления на деформационные швы.</w:t>
      </w:r>
    </w:p>
    <w:p w:rsidR="009347DB" w:rsidRPr="009573A6" w:rsidRDefault="009347DB" w:rsidP="009347DB">
      <w:pPr>
        <w:widowControl w:val="0"/>
        <w:spacing w:line="274" w:lineRule="exact"/>
        <w:ind w:right="220" w:firstLine="760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 xml:space="preserve">Проверочный расчет несущих строительных конструкций здания выполнен в российском программном комплексе </w:t>
      </w:r>
      <w:r w:rsidRPr="009573A6">
        <w:rPr>
          <w:rFonts w:eastAsia="Times New Roman" w:cs="Times New Roman"/>
          <w:color w:val="000000"/>
          <w:szCs w:val="24"/>
          <w:lang w:val="en-US" w:bidi="en-US"/>
        </w:rPr>
        <w:t>STARK</w:t>
      </w:r>
      <w:r w:rsidRPr="009573A6">
        <w:rPr>
          <w:rFonts w:eastAsia="Times New Roman" w:cs="Times New Roman"/>
          <w:color w:val="000000"/>
          <w:szCs w:val="24"/>
          <w:lang w:bidi="en-US"/>
        </w:rPr>
        <w:t xml:space="preserve"> </w:t>
      </w:r>
      <w:r w:rsidRPr="009573A6">
        <w:rPr>
          <w:rFonts w:eastAsia="Times New Roman" w:cs="Times New Roman"/>
          <w:color w:val="000000"/>
          <w:szCs w:val="24"/>
          <w:lang w:val="en-US" w:bidi="en-US"/>
        </w:rPr>
        <w:t>ES</w:t>
      </w:r>
      <w:r w:rsidRPr="009573A6">
        <w:rPr>
          <w:rFonts w:eastAsia="Times New Roman" w:cs="Times New Roman"/>
          <w:color w:val="000000"/>
          <w:szCs w:val="24"/>
          <w:lang w:bidi="en-US"/>
        </w:rPr>
        <w:t xml:space="preserve"> 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t>(разработчик - ООО «ЕВРОСОФТ, Москва). Общий вид расчетной модели здания показан на рисунке 1.</w:t>
      </w:r>
    </w:p>
    <w:p w:rsidR="009347DB" w:rsidRPr="009573A6" w:rsidRDefault="009347DB" w:rsidP="009347DB">
      <w:pPr>
        <w:widowControl w:val="0"/>
        <w:spacing w:line="274" w:lineRule="exact"/>
        <w:ind w:right="220" w:firstLine="760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>Согласно действующим строительным нормам [1], при проектировании в сейсмических районах широкого класса зданий и сооружений (в том числе, аэровокзальных комплексов) требуется произвести нелинейный динамический анализ напряженно-деформированного состояния их конструкций при сейсмическом воздействии уровня МРЗ. Расчет следует выполнять, «как правило, во временной области с применением инструментальных или синтезированных акселерограмм сейсмического движения грунта» [1]. Применяемые для расчета акселерограммы были подготовлены при помощи программы «Одиссей». Расчет был проведен с учетом возможности развития в элементах конструкций «неупругих деформаций и локальных хрупких разрушений» [1].</w:t>
      </w:r>
    </w:p>
    <w:p w:rsidR="009347DB" w:rsidRPr="009573A6" w:rsidRDefault="009347DB" w:rsidP="009347DB">
      <w:pPr>
        <w:framePr w:h="2885" w:wrap="notBeside" w:vAnchor="text" w:hAnchor="text" w:xAlign="center" w:y="1"/>
        <w:widowControl w:val="0"/>
        <w:spacing w:line="240" w:lineRule="auto"/>
        <w:ind w:firstLine="0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76D2B7E8" wp14:editId="0CE641A9">
            <wp:extent cx="6073140" cy="1837690"/>
            <wp:effectExtent l="0" t="0" r="3810" b="0"/>
            <wp:docPr id="1" name="Рисунок 1" descr="C:\Users\836D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836D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DB" w:rsidRPr="009573A6" w:rsidRDefault="009347DB" w:rsidP="009347DB">
      <w:pPr>
        <w:framePr w:h="2885" w:wrap="notBeside" w:vAnchor="text" w:hAnchor="text" w:xAlign="center" w:y="1"/>
        <w:widowControl w:val="0"/>
        <w:spacing w:line="240" w:lineRule="exact"/>
        <w:ind w:firstLine="0"/>
        <w:jc w:val="left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>Рисунок 1. Конечно-элементная модель здания терминала</w:t>
      </w:r>
    </w:p>
    <w:p w:rsidR="009347DB" w:rsidRPr="009573A6" w:rsidRDefault="009347DB" w:rsidP="009347DB">
      <w:pPr>
        <w:widowControl w:val="0"/>
        <w:spacing w:line="24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347DB" w:rsidRPr="009573A6" w:rsidRDefault="009347DB" w:rsidP="009347DB">
      <w:pPr>
        <w:widowControl w:val="0"/>
        <w:spacing w:before="180" w:line="278" w:lineRule="exact"/>
        <w:ind w:right="220" w:firstLine="760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 xml:space="preserve">Алгоритм нелинейного динамического расчета, реализованный в программном комплексе </w:t>
      </w:r>
      <w:r w:rsidRPr="009573A6">
        <w:rPr>
          <w:rFonts w:eastAsia="Times New Roman" w:cs="Times New Roman"/>
          <w:color w:val="000000"/>
          <w:szCs w:val="24"/>
          <w:lang w:val="en-US" w:bidi="en-US"/>
        </w:rPr>
        <w:t>STARK</w:t>
      </w:r>
      <w:r w:rsidRPr="009573A6">
        <w:rPr>
          <w:rFonts w:eastAsia="Times New Roman" w:cs="Times New Roman"/>
          <w:color w:val="000000"/>
          <w:szCs w:val="24"/>
          <w:lang w:bidi="en-US"/>
        </w:rPr>
        <w:t xml:space="preserve"> </w:t>
      </w:r>
      <w:r w:rsidRPr="009573A6">
        <w:rPr>
          <w:rFonts w:eastAsia="Times New Roman" w:cs="Times New Roman"/>
          <w:color w:val="000000"/>
          <w:szCs w:val="24"/>
          <w:lang w:val="en-US" w:bidi="en-US"/>
        </w:rPr>
        <w:t>ES</w:t>
      </w:r>
      <w:r w:rsidRPr="009573A6">
        <w:rPr>
          <w:rFonts w:eastAsia="Times New Roman" w:cs="Times New Roman"/>
          <w:color w:val="000000"/>
          <w:szCs w:val="24"/>
          <w:lang w:bidi="en-US"/>
        </w:rPr>
        <w:t xml:space="preserve">, 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t>подробно описан в статье [2]. Решение поставленной задачи было</w:t>
      </w:r>
    </w:p>
    <w:p w:rsidR="009347DB" w:rsidRPr="009573A6" w:rsidRDefault="009347DB" w:rsidP="009347DB">
      <w:pPr>
        <w:widowControl w:val="0"/>
        <w:spacing w:line="274" w:lineRule="exact"/>
        <w:ind w:firstLine="0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>получено с использованием метода разложения динамической реакции конструкции по формам ее собственных колебаний. При решении задачи определения необходимых собственных форм был произведен учет вклада в динамическую реакцию отброшенных и ненайденных форм собственных колебаний.</w:t>
      </w:r>
    </w:p>
    <w:p w:rsidR="009347DB" w:rsidRPr="009573A6" w:rsidRDefault="009347DB" w:rsidP="009347DB">
      <w:pPr>
        <w:widowControl w:val="0"/>
        <w:spacing w:after="267" w:line="274" w:lineRule="exact"/>
        <w:ind w:firstLine="740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>На основании результатов проверочного расчета был представлен ряд рекомендаций по уточнению расчетного напряженно-деформированного состояния несущих металлических конструкций покрытия здания терминала, что в конечном итоге позволило обеспечить требуемую сейсмостойкость объекта в соответствии с [1].</w:t>
      </w:r>
    </w:p>
    <w:p w:rsidR="009347DB" w:rsidRPr="009573A6" w:rsidRDefault="009347DB" w:rsidP="009347DB">
      <w:pPr>
        <w:widowControl w:val="0"/>
        <w:spacing w:line="240" w:lineRule="exact"/>
        <w:ind w:firstLine="0"/>
        <w:rPr>
          <w:rFonts w:eastAsia="Times New Roman" w:cs="Times New Roman"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>Литература</w:t>
      </w:r>
    </w:p>
    <w:p w:rsidR="009347DB" w:rsidRPr="009573A6" w:rsidRDefault="009347DB" w:rsidP="009347DB">
      <w:pPr>
        <w:widowControl w:val="0"/>
        <w:numPr>
          <w:ilvl w:val="0"/>
          <w:numId w:val="1"/>
        </w:numPr>
        <w:tabs>
          <w:tab w:val="left" w:pos="743"/>
        </w:tabs>
        <w:spacing w:line="278" w:lineRule="exact"/>
        <w:ind w:left="740" w:hanging="340"/>
        <w:jc w:val="left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 xml:space="preserve">СП 14.1330.2014. Строительство в сейсмических районах. СНиП </w:t>
      </w:r>
      <w:r w:rsidRPr="009573A6">
        <w:rPr>
          <w:rFonts w:eastAsia="Times New Roman" w:cs="Times New Roman"/>
          <w:color w:val="000000"/>
          <w:szCs w:val="24"/>
          <w:lang w:val="en-US" w:bidi="en-US"/>
        </w:rPr>
        <w:t>II</w:t>
      </w:r>
      <w:r w:rsidRPr="009573A6">
        <w:rPr>
          <w:rFonts w:eastAsia="Times New Roman" w:cs="Times New Roman"/>
          <w:color w:val="000000"/>
          <w:szCs w:val="24"/>
          <w:lang w:bidi="en-US"/>
        </w:rPr>
        <w:t xml:space="preserve">-7-81*. </w:t>
      </w:r>
      <w:r>
        <w:rPr>
          <w:rFonts w:eastAsia="Times New Roman" w:cs="Times New Roman"/>
          <w:color w:val="000000"/>
          <w:szCs w:val="24"/>
          <w:lang w:eastAsia="ru-RU" w:bidi="ru-RU"/>
        </w:rPr>
        <w:t xml:space="preserve">М.: Минстрой России. 2014. 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t>125 с.</w:t>
      </w:r>
    </w:p>
    <w:p w:rsidR="009347DB" w:rsidRPr="009573A6" w:rsidRDefault="009347DB" w:rsidP="009347DB">
      <w:pPr>
        <w:widowControl w:val="0"/>
        <w:numPr>
          <w:ilvl w:val="0"/>
          <w:numId w:val="1"/>
        </w:numPr>
        <w:tabs>
          <w:tab w:val="left" w:pos="743"/>
        </w:tabs>
        <w:spacing w:after="236" w:line="274" w:lineRule="exact"/>
        <w:ind w:left="740" w:hanging="340"/>
        <w:jc w:val="left"/>
        <w:rPr>
          <w:rFonts w:eastAsia="Times New Roman" w:cs="Times New Roman"/>
          <w:color w:val="000000"/>
          <w:szCs w:val="24"/>
          <w:lang w:eastAsia="ru-RU" w:bidi="ru-RU"/>
        </w:rPr>
      </w:pPr>
      <w:r w:rsidRPr="009573A6">
        <w:rPr>
          <w:rFonts w:eastAsia="Times New Roman" w:cs="Times New Roman"/>
          <w:color w:val="000000"/>
          <w:szCs w:val="24"/>
          <w:lang w:eastAsia="ru-RU" w:bidi="ru-RU"/>
        </w:rPr>
        <w:t>Симбиркин В.Н., Панасенко Ю.В. Упрощенный нелинейный динамический расчет сооружений при сейсмических воздействиях</w:t>
      </w:r>
      <w:r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t xml:space="preserve">// Строительная </w:t>
      </w:r>
      <w:r>
        <w:rPr>
          <w:rFonts w:eastAsia="Times New Roman" w:cs="Times New Roman"/>
          <w:color w:val="000000"/>
          <w:szCs w:val="24"/>
          <w:lang w:eastAsia="ru-RU" w:bidi="ru-RU"/>
        </w:rPr>
        <w:t xml:space="preserve">механика и расчет сооружений. 2017. 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t xml:space="preserve">№ </w:t>
      </w:r>
      <w:r>
        <w:rPr>
          <w:rFonts w:eastAsia="Times New Roman" w:cs="Times New Roman"/>
          <w:color w:val="000000"/>
          <w:szCs w:val="24"/>
          <w:lang w:eastAsia="ru-RU" w:bidi="ru-RU"/>
        </w:rPr>
        <w:t>5 (274).</w:t>
      </w:r>
      <w:r w:rsidRPr="009573A6">
        <w:rPr>
          <w:rFonts w:eastAsia="Times New Roman" w:cs="Times New Roman"/>
          <w:color w:val="000000"/>
          <w:szCs w:val="24"/>
          <w:lang w:eastAsia="ru-RU" w:bidi="ru-RU"/>
        </w:rPr>
        <w:t xml:space="preserve"> С. 32-36.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9347DB">
      <w:footerReference w:type="default" r:id="rId10"/>
      <w:pgSz w:w="11906" w:h="16838"/>
      <w:pgMar w:top="1418" w:right="851" w:bottom="1134" w:left="1418" w:header="709" w:footer="709" w:gutter="0"/>
      <w:pgNumType w:start="2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65" w:rsidRDefault="00BB6765" w:rsidP="00AE7A14">
      <w:pPr>
        <w:spacing w:line="240" w:lineRule="auto"/>
      </w:pPr>
      <w:r>
        <w:separator/>
      </w:r>
    </w:p>
  </w:endnote>
  <w:endnote w:type="continuationSeparator" w:id="0">
    <w:p w:rsidR="00BB6765" w:rsidRDefault="00BB6765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:rsidR="00AE7A14" w:rsidRPr="00FA29F9" w:rsidRDefault="00AE7A14" w:rsidP="009347DB">
        <w:pPr>
          <w:pStyle w:val="a5"/>
          <w:tabs>
            <w:tab w:val="clear" w:pos="4677"/>
            <w:tab w:val="clear" w:pos="9355"/>
          </w:tabs>
          <w:ind w:firstLine="0"/>
          <w:jc w:val="center"/>
          <w:rPr>
            <w:rFonts w:cs="Times New Roman"/>
            <w:szCs w:val="24"/>
          </w:rPr>
        </w:pPr>
        <w:r w:rsidRPr="00FA29F9">
          <w:rPr>
            <w:rFonts w:cs="Times New Roman"/>
            <w:szCs w:val="24"/>
          </w:rPr>
          <w:fldChar w:fldCharType="begin"/>
        </w:r>
        <w:r w:rsidRPr="00FA29F9">
          <w:rPr>
            <w:rFonts w:cs="Times New Roman"/>
            <w:szCs w:val="24"/>
          </w:rPr>
          <w:instrText>PAGE   \* MERGEFORMAT</w:instrText>
        </w:r>
        <w:r w:rsidRPr="00FA29F9">
          <w:rPr>
            <w:rFonts w:cs="Times New Roman"/>
            <w:szCs w:val="24"/>
          </w:rPr>
          <w:fldChar w:fldCharType="separate"/>
        </w:r>
        <w:r w:rsidR="00555327">
          <w:rPr>
            <w:rFonts w:cs="Times New Roman"/>
            <w:noProof/>
            <w:szCs w:val="24"/>
          </w:rPr>
          <w:t>218</w:t>
        </w:r>
        <w:r w:rsidRPr="00FA29F9">
          <w:rPr>
            <w:rFonts w:cs="Times New Roman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65" w:rsidRDefault="00BB6765" w:rsidP="00AE7A14">
      <w:pPr>
        <w:spacing w:line="240" w:lineRule="auto"/>
      </w:pPr>
      <w:r>
        <w:separator/>
      </w:r>
    </w:p>
  </w:footnote>
  <w:footnote w:type="continuationSeparator" w:id="0">
    <w:p w:rsidR="00BB6765" w:rsidRDefault="00BB6765" w:rsidP="00AE7A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08D3"/>
    <w:multiLevelType w:val="multilevel"/>
    <w:tmpl w:val="7096B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DB"/>
    <w:rsid w:val="000A3143"/>
    <w:rsid w:val="00555327"/>
    <w:rsid w:val="00660256"/>
    <w:rsid w:val="00686762"/>
    <w:rsid w:val="00810F65"/>
    <w:rsid w:val="009347DB"/>
    <w:rsid w:val="00AE7A14"/>
    <w:rsid w:val="00BB6765"/>
    <w:rsid w:val="00DE1789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DB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character" w:styleId="a7">
    <w:name w:val="Hyperlink"/>
    <w:basedOn w:val="a0"/>
    <w:rsid w:val="009347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4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7D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DB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character" w:styleId="a7">
    <w:name w:val="Hyperlink"/>
    <w:basedOn w:val="a0"/>
    <w:rsid w:val="009347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4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7D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sof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2020-07-24T13:17:00Z</dcterms:created>
  <dcterms:modified xsi:type="dcterms:W3CDTF">2021-05-13T12:58:00Z</dcterms:modified>
</cp:coreProperties>
</file>